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BCC32" w14:textId="77777777" w:rsidR="00B40511" w:rsidRDefault="00B40511" w:rsidP="00B40511">
      <w:pPr>
        <w:jc w:val="center"/>
        <w:rPr>
          <w:rFonts w:ascii="Times New Roman" w:hAnsi="Times New Roman"/>
          <w:b/>
        </w:rPr>
      </w:pPr>
      <w:r w:rsidRPr="00A63F47">
        <w:rPr>
          <w:rFonts w:ascii="Times New Roman" w:hAnsi="Times New Roman"/>
          <w:b/>
        </w:rPr>
        <w:t>Учебный план</w:t>
      </w:r>
      <w:r>
        <w:rPr>
          <w:rFonts w:ascii="Times New Roman" w:hAnsi="Times New Roman"/>
          <w:b/>
        </w:rPr>
        <w:t xml:space="preserve"> программы</w:t>
      </w:r>
    </w:p>
    <w:p w14:paraId="1D25913A" w14:textId="77777777" w:rsidR="00B40511" w:rsidRPr="00A63F47" w:rsidRDefault="00B40511" w:rsidP="00B40511">
      <w:pPr>
        <w:jc w:val="center"/>
        <w:rPr>
          <w:rFonts w:ascii="Times New Roman" w:hAnsi="Times New Roman"/>
          <w:b/>
        </w:rPr>
      </w:pPr>
      <w:r w:rsidRPr="00D721A4">
        <w:rPr>
          <w:rFonts w:ascii="Times New Roman" w:hAnsi="Times New Roman"/>
          <w:b/>
        </w:rPr>
        <w:t>«Оказание услуг социально ориентированными некоммерческими организациями через государственный социальный заказ»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18"/>
        <w:gridCol w:w="1276"/>
        <w:gridCol w:w="992"/>
        <w:gridCol w:w="1276"/>
        <w:gridCol w:w="1276"/>
        <w:gridCol w:w="992"/>
      </w:tblGrid>
      <w:tr w:rsidR="00B40511" w:rsidRPr="00A63F47" w14:paraId="616ABC5C" w14:textId="77777777" w:rsidTr="00AF6D60">
        <w:trPr>
          <w:tblHeader/>
        </w:trPr>
        <w:tc>
          <w:tcPr>
            <w:tcW w:w="568" w:type="dxa"/>
            <w:vMerge w:val="restart"/>
            <w:shd w:val="clear" w:color="auto" w:fill="auto"/>
          </w:tcPr>
          <w:p w14:paraId="45412999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3C32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6FE5B004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3C32">
              <w:rPr>
                <w:rFonts w:ascii="Times New Roman" w:hAnsi="Times New Roman"/>
                <w:b/>
                <w:spacing w:val="9"/>
                <w:sz w:val="20"/>
                <w:szCs w:val="20"/>
              </w:rPr>
              <w:t>Наименование</w:t>
            </w:r>
            <w:r w:rsidRPr="007F3C32">
              <w:rPr>
                <w:rFonts w:ascii="Times New Roman" w:hAnsi="Times New Roman"/>
                <w:b/>
                <w:spacing w:val="17"/>
                <w:sz w:val="20"/>
                <w:szCs w:val="20"/>
              </w:rPr>
              <w:t xml:space="preserve"> </w:t>
            </w:r>
            <w:r w:rsidRPr="007F3C32">
              <w:rPr>
                <w:rFonts w:ascii="Times New Roman" w:hAnsi="Times New Roman"/>
                <w:b/>
                <w:spacing w:val="7"/>
                <w:sz w:val="20"/>
                <w:szCs w:val="20"/>
              </w:rPr>
              <w:t>дисциплин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99E76B3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3C32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>Всего</w:t>
            </w:r>
            <w:r w:rsidRPr="007F3C32">
              <w:rPr>
                <w:rFonts w:ascii="Times New Roman" w:hAnsi="Times New Roman"/>
                <w:b/>
                <w:spacing w:val="4"/>
                <w:position w:val="1"/>
                <w:sz w:val="20"/>
                <w:szCs w:val="20"/>
              </w:rPr>
              <w:t xml:space="preserve"> часов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3C8493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3C3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7F3C32">
              <w:rPr>
                <w:rFonts w:ascii="Times New Roman" w:hAnsi="Times New Roman"/>
                <w:b/>
                <w:spacing w:val="16"/>
                <w:sz w:val="20"/>
                <w:szCs w:val="20"/>
              </w:rPr>
              <w:t xml:space="preserve"> </w:t>
            </w:r>
            <w:r w:rsidRPr="007F3C32">
              <w:rPr>
                <w:rFonts w:ascii="Times New Roman" w:hAnsi="Times New Roman"/>
                <w:b/>
                <w:spacing w:val="4"/>
                <w:sz w:val="20"/>
                <w:szCs w:val="20"/>
              </w:rPr>
              <w:t>том</w:t>
            </w:r>
            <w:r w:rsidRPr="007F3C32">
              <w:rPr>
                <w:rFonts w:ascii="Times New Roman" w:hAnsi="Times New Roman"/>
                <w:b/>
                <w:spacing w:val="39"/>
                <w:sz w:val="20"/>
                <w:szCs w:val="20"/>
              </w:rPr>
              <w:t xml:space="preserve"> </w:t>
            </w:r>
            <w:r w:rsidRPr="007F3C32">
              <w:rPr>
                <w:rFonts w:ascii="Times New Roman" w:hAnsi="Times New Roman"/>
                <w:b/>
                <w:spacing w:val="5"/>
                <w:sz w:val="20"/>
                <w:szCs w:val="20"/>
              </w:rPr>
              <w:t>числе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3FB6C32F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3C32">
              <w:rPr>
                <w:rFonts w:ascii="Times New Roman" w:hAnsi="Times New Roman"/>
                <w:b/>
                <w:spacing w:val="6"/>
                <w:position w:val="1"/>
                <w:sz w:val="20"/>
                <w:szCs w:val="20"/>
              </w:rPr>
              <w:t>Форма контроля</w:t>
            </w:r>
          </w:p>
        </w:tc>
      </w:tr>
      <w:tr w:rsidR="00B40511" w:rsidRPr="00A63F47" w14:paraId="0A81741E" w14:textId="77777777" w:rsidTr="00AF6D60">
        <w:trPr>
          <w:tblHeader/>
        </w:trPr>
        <w:tc>
          <w:tcPr>
            <w:tcW w:w="568" w:type="dxa"/>
            <w:vMerge/>
            <w:shd w:val="clear" w:color="auto" w:fill="auto"/>
          </w:tcPr>
          <w:p w14:paraId="56C910E7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7A9A54F1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DB99864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417EB1A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3C32">
              <w:rPr>
                <w:rFonts w:ascii="Times New Roman" w:hAnsi="Times New Roman"/>
                <w:b/>
                <w:spacing w:val="7"/>
                <w:sz w:val="20"/>
                <w:szCs w:val="20"/>
              </w:rPr>
              <w:t>Лекции</w:t>
            </w:r>
          </w:p>
        </w:tc>
        <w:tc>
          <w:tcPr>
            <w:tcW w:w="1276" w:type="dxa"/>
            <w:shd w:val="clear" w:color="auto" w:fill="auto"/>
          </w:tcPr>
          <w:p w14:paraId="44A315D1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3C32">
              <w:rPr>
                <w:rFonts w:ascii="Times New Roman" w:hAnsi="Times New Roman"/>
                <w:b/>
                <w:spacing w:val="8"/>
                <w:sz w:val="20"/>
                <w:szCs w:val="20"/>
              </w:rPr>
              <w:t xml:space="preserve">Практика </w:t>
            </w:r>
          </w:p>
        </w:tc>
        <w:tc>
          <w:tcPr>
            <w:tcW w:w="1276" w:type="dxa"/>
            <w:shd w:val="clear" w:color="auto" w:fill="auto"/>
          </w:tcPr>
          <w:p w14:paraId="3F88D6CE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3C32">
              <w:rPr>
                <w:rFonts w:ascii="Times New Roman" w:hAnsi="Times New Roman"/>
                <w:b/>
                <w:spacing w:val="9"/>
                <w:sz w:val="20"/>
                <w:szCs w:val="20"/>
              </w:rPr>
              <w:t>Самостоятельная работа</w:t>
            </w:r>
          </w:p>
        </w:tc>
        <w:tc>
          <w:tcPr>
            <w:tcW w:w="992" w:type="dxa"/>
            <w:vMerge/>
            <w:shd w:val="clear" w:color="auto" w:fill="auto"/>
          </w:tcPr>
          <w:p w14:paraId="7FA57B8B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40511" w:rsidRPr="00A63F47" w14:paraId="466D96F9" w14:textId="77777777" w:rsidTr="00AF6D60">
        <w:tc>
          <w:tcPr>
            <w:tcW w:w="568" w:type="dxa"/>
            <w:shd w:val="clear" w:color="auto" w:fill="auto"/>
          </w:tcPr>
          <w:p w14:paraId="235056AD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18" w:type="dxa"/>
            <w:shd w:val="clear" w:color="auto" w:fill="auto"/>
          </w:tcPr>
          <w:p w14:paraId="5C19F207" w14:textId="77777777" w:rsidR="00B40511" w:rsidRPr="007F3C32" w:rsidRDefault="00B40511" w:rsidP="00AF6D60">
            <w:pPr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7"/>
                <w:position w:val="1"/>
                <w:sz w:val="20"/>
                <w:szCs w:val="20"/>
              </w:rPr>
              <w:t xml:space="preserve">Специфика </w:t>
            </w:r>
            <w:r>
              <w:rPr>
                <w:rFonts w:ascii="Times New Roman" w:hAnsi="Times New Roman"/>
                <w:spacing w:val="7"/>
                <w:position w:val="1"/>
                <w:sz w:val="20"/>
                <w:szCs w:val="20"/>
              </w:rPr>
              <w:t xml:space="preserve">деятельности и </w:t>
            </w:r>
            <w:r w:rsidRPr="007F3C32">
              <w:rPr>
                <w:rFonts w:ascii="Times New Roman" w:hAnsi="Times New Roman"/>
                <w:spacing w:val="7"/>
                <w:position w:val="1"/>
                <w:sz w:val="20"/>
                <w:szCs w:val="20"/>
              </w:rPr>
              <w:t>поддержки СО НКО на</w:t>
            </w:r>
            <w:r>
              <w:rPr>
                <w:rFonts w:ascii="Times New Roman" w:hAnsi="Times New Roman"/>
                <w:spacing w:val="7"/>
                <w:position w:val="1"/>
                <w:sz w:val="20"/>
                <w:szCs w:val="20"/>
              </w:rPr>
              <w:t xml:space="preserve"> региональном и </w:t>
            </w:r>
            <w:r w:rsidRPr="007F3C32">
              <w:rPr>
                <w:rFonts w:ascii="Times New Roman" w:hAnsi="Times New Roman"/>
                <w:spacing w:val="7"/>
                <w:position w:val="1"/>
                <w:sz w:val="20"/>
                <w:szCs w:val="20"/>
              </w:rPr>
              <w:t>местном уровн</w:t>
            </w:r>
            <w:r>
              <w:rPr>
                <w:rFonts w:ascii="Times New Roman" w:hAnsi="Times New Roman"/>
                <w:spacing w:val="7"/>
                <w:position w:val="1"/>
                <w:sz w:val="20"/>
                <w:szCs w:val="20"/>
              </w:rPr>
              <w:t>ях</w:t>
            </w:r>
          </w:p>
        </w:tc>
        <w:tc>
          <w:tcPr>
            <w:tcW w:w="1276" w:type="dxa"/>
            <w:shd w:val="clear" w:color="auto" w:fill="auto"/>
          </w:tcPr>
          <w:p w14:paraId="6A66E5CF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088B2C4A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1276" w:type="dxa"/>
            <w:shd w:val="clear" w:color="auto" w:fill="auto"/>
          </w:tcPr>
          <w:p w14:paraId="5E2ED08C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14:paraId="45037781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992" w:type="dxa"/>
            <w:shd w:val="clear" w:color="auto" w:fill="auto"/>
          </w:tcPr>
          <w:p w14:paraId="310C783D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</w:t>
            </w:r>
          </w:p>
        </w:tc>
      </w:tr>
      <w:tr w:rsidR="00B40511" w:rsidRPr="00A63F47" w14:paraId="230A4B9C" w14:textId="77777777" w:rsidTr="00AF6D60">
        <w:tc>
          <w:tcPr>
            <w:tcW w:w="568" w:type="dxa"/>
            <w:shd w:val="clear" w:color="auto" w:fill="auto"/>
          </w:tcPr>
          <w:p w14:paraId="7545ADFD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118" w:type="dxa"/>
            <w:shd w:val="clear" w:color="auto" w:fill="auto"/>
          </w:tcPr>
          <w:p w14:paraId="0D30B375" w14:textId="77777777" w:rsidR="00B40511" w:rsidRPr="000164AC" w:rsidRDefault="00B40511" w:rsidP="00AF6D60">
            <w:pPr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СОНКО как объект 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 xml:space="preserve">государственной и </w:t>
            </w: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>муниципальной политики, как партнер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в решении вопросов 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 xml:space="preserve">регионального и </w:t>
            </w: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местного значения и как инструмент повышения инвестиций в повышение качества жизни жителей </w:t>
            </w:r>
          </w:p>
        </w:tc>
        <w:tc>
          <w:tcPr>
            <w:tcW w:w="1276" w:type="dxa"/>
            <w:shd w:val="clear" w:color="auto" w:fill="auto"/>
          </w:tcPr>
          <w:p w14:paraId="20613C63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992" w:type="dxa"/>
            <w:shd w:val="clear" w:color="auto" w:fill="auto"/>
          </w:tcPr>
          <w:p w14:paraId="4D56743C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276" w:type="dxa"/>
            <w:shd w:val="clear" w:color="auto" w:fill="auto"/>
          </w:tcPr>
          <w:p w14:paraId="08B60C93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14:paraId="4B0D10A9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992" w:type="dxa"/>
            <w:shd w:val="clear" w:color="auto" w:fill="auto"/>
          </w:tcPr>
          <w:p w14:paraId="4F44F225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кейс-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стади</w:t>
            </w:r>
            <w:proofErr w:type="spellEnd"/>
          </w:p>
        </w:tc>
      </w:tr>
      <w:tr w:rsidR="00B40511" w:rsidRPr="00A63F47" w14:paraId="7D5187F4" w14:textId="77777777" w:rsidTr="00AF6D60">
        <w:tc>
          <w:tcPr>
            <w:tcW w:w="568" w:type="dxa"/>
            <w:shd w:val="clear" w:color="auto" w:fill="auto"/>
          </w:tcPr>
          <w:p w14:paraId="5D03752A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118" w:type="dxa"/>
            <w:shd w:val="clear" w:color="auto" w:fill="auto"/>
          </w:tcPr>
          <w:p w14:paraId="68B2AFC3" w14:textId="77777777" w:rsidR="00B40511" w:rsidRPr="007F3C32" w:rsidRDefault="00B40511" w:rsidP="00AF6D60">
            <w:pPr>
              <w:rPr>
                <w:rFonts w:ascii="Times New Roman" w:hAnsi="Times New Roman"/>
                <w:spacing w:val="9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9"/>
                <w:sz w:val="20"/>
                <w:szCs w:val="20"/>
              </w:rPr>
              <w:t>Актуальные нормативные требования к деятельности органов</w:t>
            </w:r>
            <w:r>
              <w:rPr>
                <w:rFonts w:ascii="Times New Roman" w:hAnsi="Times New Roman"/>
                <w:spacing w:val="9"/>
                <w:sz w:val="20"/>
                <w:szCs w:val="20"/>
              </w:rPr>
              <w:t xml:space="preserve"> государственной власти и органов </w:t>
            </w:r>
            <w:r w:rsidRPr="007F3C32">
              <w:rPr>
                <w:rFonts w:ascii="Times New Roman" w:hAnsi="Times New Roman"/>
                <w:spacing w:val="9"/>
                <w:sz w:val="20"/>
                <w:szCs w:val="20"/>
              </w:rPr>
              <w:t xml:space="preserve">местного самоуправления по формированию </w:t>
            </w:r>
            <w:r>
              <w:rPr>
                <w:rFonts w:ascii="Times New Roman" w:hAnsi="Times New Roman"/>
                <w:spacing w:val="9"/>
                <w:sz w:val="20"/>
                <w:szCs w:val="20"/>
              </w:rPr>
              <w:t xml:space="preserve">государственной и </w:t>
            </w:r>
            <w:r w:rsidRPr="007F3C32">
              <w:rPr>
                <w:rFonts w:ascii="Times New Roman" w:hAnsi="Times New Roman"/>
                <w:spacing w:val="9"/>
                <w:sz w:val="20"/>
                <w:szCs w:val="20"/>
              </w:rPr>
              <w:t>муниципальной системы поддержки СОНКО. Федеральные тренды.</w:t>
            </w:r>
          </w:p>
          <w:p w14:paraId="2A0DAE13" w14:textId="77777777" w:rsidR="00B40511" w:rsidRPr="007F3C32" w:rsidRDefault="00B40511" w:rsidP="00AF6D60">
            <w:pPr>
              <w:rPr>
                <w:rFonts w:ascii="Times New Roman" w:hAnsi="Times New Roman"/>
                <w:spacing w:val="9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9"/>
                <w:sz w:val="20"/>
                <w:szCs w:val="20"/>
              </w:rPr>
              <w:t>Участие СОНКО в оказании услуг населению и решению задач социально-экономического развития.</w:t>
            </w:r>
          </w:p>
          <w:p w14:paraId="69DBC765" w14:textId="77777777" w:rsidR="00B40511" w:rsidRPr="007F3C32" w:rsidRDefault="00B40511" w:rsidP="00AF6D60">
            <w:pPr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9"/>
                <w:sz w:val="20"/>
                <w:szCs w:val="20"/>
              </w:rPr>
              <w:t xml:space="preserve">Участие СОНКО в принятии решений на </w:t>
            </w:r>
            <w:r>
              <w:rPr>
                <w:rFonts w:ascii="Times New Roman" w:hAnsi="Times New Roman"/>
                <w:spacing w:val="9"/>
                <w:sz w:val="20"/>
                <w:szCs w:val="20"/>
              </w:rPr>
              <w:t xml:space="preserve">региональном и </w:t>
            </w:r>
            <w:r w:rsidRPr="007F3C32">
              <w:rPr>
                <w:rFonts w:ascii="Times New Roman" w:hAnsi="Times New Roman"/>
                <w:spacing w:val="9"/>
                <w:sz w:val="20"/>
                <w:szCs w:val="20"/>
              </w:rPr>
              <w:t>местном уровне – обязательные механизмы вовлечения граждан в принятие решений.</w:t>
            </w:r>
          </w:p>
        </w:tc>
        <w:tc>
          <w:tcPr>
            <w:tcW w:w="1276" w:type="dxa"/>
            <w:shd w:val="clear" w:color="auto" w:fill="auto"/>
          </w:tcPr>
          <w:p w14:paraId="2F7D6C3F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79AE7EB5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1276" w:type="dxa"/>
            <w:shd w:val="clear" w:color="auto" w:fill="auto"/>
          </w:tcPr>
          <w:p w14:paraId="363FCD15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14:paraId="48AB64B0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shd w:val="clear" w:color="auto" w:fill="auto"/>
          </w:tcPr>
          <w:p w14:paraId="72428768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Тест</w:t>
            </w:r>
          </w:p>
        </w:tc>
      </w:tr>
      <w:tr w:rsidR="00B40511" w:rsidRPr="00A63F47" w14:paraId="0C16D570" w14:textId="77777777" w:rsidTr="00AF6D60">
        <w:tc>
          <w:tcPr>
            <w:tcW w:w="568" w:type="dxa"/>
            <w:shd w:val="clear" w:color="auto" w:fill="auto"/>
          </w:tcPr>
          <w:p w14:paraId="3BD9A07D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118" w:type="dxa"/>
            <w:shd w:val="clear" w:color="auto" w:fill="auto"/>
          </w:tcPr>
          <w:p w14:paraId="26EEB733" w14:textId="77777777" w:rsidR="00B40511" w:rsidRPr="007F3C32" w:rsidRDefault="00B40511" w:rsidP="00AF6D60">
            <w:pPr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Реализация государственного социального заказа и обеспеченность этого порядка нормативно правовыми актами. </w:t>
            </w:r>
          </w:p>
          <w:p w14:paraId="2EF6E690" w14:textId="77777777" w:rsidR="00B40511" w:rsidRPr="007F3C32" w:rsidRDefault="00B40511" w:rsidP="00AF6D60">
            <w:pPr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Подходы к формированию инфраструктуры поддержки на 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 xml:space="preserve">региональном и </w:t>
            </w: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муниципальном уровне. </w:t>
            </w:r>
          </w:p>
          <w:p w14:paraId="50F7DD48" w14:textId="77777777" w:rsidR="00B40511" w:rsidRPr="007F3C32" w:rsidRDefault="00B40511" w:rsidP="00AF6D60">
            <w:pPr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Эффективные инструменты и модели реализации государственного социального заказа: примеры успешного опыта. </w:t>
            </w:r>
          </w:p>
          <w:p w14:paraId="4FF0EB1F" w14:textId="77777777" w:rsidR="00B40511" w:rsidRPr="007F3C32" w:rsidRDefault="00B40511" w:rsidP="00AF6D60">
            <w:pPr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Примеры нормативных актов органов 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 xml:space="preserve">государственной власти и органов </w:t>
            </w: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>местного самоуправления по реализации государственного социального заказа</w:t>
            </w:r>
          </w:p>
        </w:tc>
        <w:tc>
          <w:tcPr>
            <w:tcW w:w="1276" w:type="dxa"/>
            <w:shd w:val="clear" w:color="auto" w:fill="auto"/>
          </w:tcPr>
          <w:p w14:paraId="6878E78A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992" w:type="dxa"/>
            <w:shd w:val="clear" w:color="auto" w:fill="auto"/>
          </w:tcPr>
          <w:p w14:paraId="01578CD4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14:paraId="16C23F84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14:paraId="350B5BA9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992" w:type="dxa"/>
            <w:shd w:val="clear" w:color="auto" w:fill="auto"/>
          </w:tcPr>
          <w:p w14:paraId="0FC823EC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057C">
              <w:rPr>
                <w:rFonts w:ascii="Times New Roman" w:hAnsi="Times New Roman"/>
                <w:sz w:val="20"/>
                <w:szCs w:val="20"/>
              </w:rPr>
              <w:t>Экспертное наблюдение и оценка деятельности обучающегося в процессе освоения учебной дисциплины</w:t>
            </w:r>
          </w:p>
        </w:tc>
      </w:tr>
      <w:tr w:rsidR="00B40511" w:rsidRPr="00A63F47" w14:paraId="2A5D7F71" w14:textId="77777777" w:rsidTr="00AF6D60">
        <w:tc>
          <w:tcPr>
            <w:tcW w:w="568" w:type="dxa"/>
            <w:shd w:val="clear" w:color="auto" w:fill="auto"/>
          </w:tcPr>
          <w:p w14:paraId="6306EA76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  <w:r w:rsidRPr="007F3C3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14:paraId="1B5D9EFA" w14:textId="77777777" w:rsidR="00B40511" w:rsidRDefault="00B40511" w:rsidP="00AF6D60">
            <w:pPr>
              <w:jc w:val="both"/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>Специальные требования к реализации государственного социального заказа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>.</w:t>
            </w:r>
          </w:p>
          <w:p w14:paraId="71A8A067" w14:textId="77777777" w:rsidR="00B40511" w:rsidRPr="007F3C32" w:rsidRDefault="00B40511" w:rsidP="00AF6D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>Ограничения в реализации государственного социального заказа</w:t>
            </w:r>
          </w:p>
        </w:tc>
        <w:tc>
          <w:tcPr>
            <w:tcW w:w="1276" w:type="dxa"/>
            <w:shd w:val="clear" w:color="auto" w:fill="auto"/>
          </w:tcPr>
          <w:p w14:paraId="6D1E8979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992" w:type="dxa"/>
            <w:shd w:val="clear" w:color="auto" w:fill="auto"/>
          </w:tcPr>
          <w:p w14:paraId="478CE31D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1276" w:type="dxa"/>
            <w:shd w:val="clear" w:color="auto" w:fill="auto"/>
          </w:tcPr>
          <w:p w14:paraId="02F1A8A1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14:paraId="0BDEDAD8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shd w:val="clear" w:color="auto" w:fill="auto"/>
          </w:tcPr>
          <w:p w14:paraId="7F7E4657" w14:textId="77777777" w:rsidR="00B40511" w:rsidRPr="007F3C32" w:rsidRDefault="00B40511" w:rsidP="00AF6D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Зачет </w:t>
            </w:r>
          </w:p>
        </w:tc>
      </w:tr>
      <w:tr w:rsidR="00B40511" w:rsidRPr="00A63F47" w14:paraId="587B2616" w14:textId="77777777" w:rsidTr="00AF6D60">
        <w:tc>
          <w:tcPr>
            <w:tcW w:w="568" w:type="dxa"/>
            <w:shd w:val="clear" w:color="auto" w:fill="auto"/>
          </w:tcPr>
          <w:p w14:paraId="5FEEE8BE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F3C3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14:paraId="6B63A0EE" w14:textId="77777777" w:rsidR="00B40511" w:rsidRPr="007F3C32" w:rsidRDefault="00B40511" w:rsidP="00AF6D60">
            <w:pPr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>Подходы к реализации государственного социального заказа с учётом федеральных рекомендаций. Рекомендации по формированию и реализации государственного социального заказа в Пермском крае.</w:t>
            </w:r>
          </w:p>
          <w:p w14:paraId="6821B77B" w14:textId="77777777" w:rsidR="00B40511" w:rsidRPr="007F3C32" w:rsidRDefault="00B40511" w:rsidP="00AF6D60">
            <w:pPr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>Подходы к анализу деятельности СОНКО в сфере реализации социального заказа.</w:t>
            </w:r>
          </w:p>
          <w:p w14:paraId="7088CE9C" w14:textId="77777777" w:rsidR="00B40511" w:rsidRPr="007F3C32" w:rsidRDefault="00B40511" w:rsidP="00AF6D60">
            <w:pPr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>Подходы к формированию и содержания реализации государственного социального заказа.</w:t>
            </w:r>
          </w:p>
          <w:p w14:paraId="4B6B2A36" w14:textId="77777777" w:rsidR="00B40511" w:rsidRDefault="00B40511" w:rsidP="00AF6D60">
            <w:pPr>
              <w:rPr>
                <w:rFonts w:ascii="Times New Roman" w:hAnsi="Times New Roman"/>
                <w:spacing w:val="8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>Подходы к оценке эффективности мер по реализации государственного социального заказа</w:t>
            </w:r>
            <w:r>
              <w:rPr>
                <w:rFonts w:ascii="Times New Roman" w:hAnsi="Times New Roman"/>
                <w:spacing w:val="8"/>
                <w:sz w:val="20"/>
                <w:szCs w:val="20"/>
              </w:rPr>
              <w:t>.</w:t>
            </w: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 </w:t>
            </w:r>
          </w:p>
          <w:p w14:paraId="693F370D" w14:textId="77777777" w:rsidR="00B40511" w:rsidRPr="007F3C32" w:rsidRDefault="00B40511" w:rsidP="00AF6D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92FDAF8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BF02F7C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276" w:type="dxa"/>
            <w:shd w:val="clear" w:color="auto" w:fill="auto"/>
          </w:tcPr>
          <w:p w14:paraId="485AAE9E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14:paraId="59E9C5EE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992" w:type="dxa"/>
            <w:shd w:val="clear" w:color="auto" w:fill="auto"/>
          </w:tcPr>
          <w:p w14:paraId="785B0FD4" w14:textId="77777777" w:rsidR="00B40511" w:rsidRPr="007F3C32" w:rsidRDefault="00B40511" w:rsidP="00AF6D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Обсуждение в форме дискуссии</w:t>
            </w:r>
          </w:p>
        </w:tc>
      </w:tr>
      <w:tr w:rsidR="00B40511" w:rsidRPr="00A63F47" w14:paraId="21AED17E" w14:textId="77777777" w:rsidTr="00AF6D60">
        <w:tc>
          <w:tcPr>
            <w:tcW w:w="568" w:type="dxa"/>
            <w:shd w:val="clear" w:color="auto" w:fill="auto"/>
          </w:tcPr>
          <w:p w14:paraId="0770ED64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F3C3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14:paraId="124FCF2D" w14:textId="77777777" w:rsidR="00B40511" w:rsidRPr="007F3C32" w:rsidRDefault="00B40511" w:rsidP="00AF6D60">
            <w:pPr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pacing w:val="8"/>
                <w:sz w:val="20"/>
                <w:szCs w:val="20"/>
              </w:rPr>
              <w:t xml:space="preserve">Экспертная дискуссия по развитию и реализации государственного социального заказа. </w:t>
            </w:r>
          </w:p>
        </w:tc>
        <w:tc>
          <w:tcPr>
            <w:tcW w:w="1276" w:type="dxa"/>
            <w:shd w:val="clear" w:color="auto" w:fill="auto"/>
          </w:tcPr>
          <w:p w14:paraId="1ACBAD85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2CC7553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276" w:type="dxa"/>
            <w:shd w:val="clear" w:color="auto" w:fill="auto"/>
          </w:tcPr>
          <w:p w14:paraId="48BDB8DC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14:paraId="3169A33E" w14:textId="77777777" w:rsidR="00B40511" w:rsidRPr="007F3C32" w:rsidRDefault="00B40511" w:rsidP="00AF6D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C32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992" w:type="dxa"/>
            <w:shd w:val="clear" w:color="auto" w:fill="auto"/>
          </w:tcPr>
          <w:p w14:paraId="3CA85AC3" w14:textId="77777777" w:rsidR="00B40511" w:rsidRPr="007F3C32" w:rsidRDefault="00B40511" w:rsidP="00AF6D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</w:tr>
    </w:tbl>
    <w:p w14:paraId="4AA7A2C5" w14:textId="77777777" w:rsidR="00B40511" w:rsidRDefault="00B40511" w:rsidP="00B40511">
      <w:pPr>
        <w:rPr>
          <w:rFonts w:ascii="Times New Roman" w:hAnsi="Times New Roman"/>
          <w:highlight w:val="lightGray"/>
        </w:rPr>
      </w:pPr>
    </w:p>
    <w:p w14:paraId="6E1DD8F1" w14:textId="7FA295AB" w:rsidR="00B40511" w:rsidRPr="00B40511" w:rsidRDefault="00B40511" w:rsidP="00B40511"/>
    <w:sectPr w:rsidR="00B40511" w:rsidRPr="00B40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11"/>
    <w:rsid w:val="00B4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1D678"/>
  <w15:chartTrackingRefBased/>
  <w15:docId w15:val="{0F8B2A49-3663-4502-8385-710E613C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511"/>
    <w:pPr>
      <w:spacing w:after="0" w:line="240" w:lineRule="auto"/>
    </w:pPr>
    <w:rPr>
      <w:rFonts w:ascii="Lucida Grande CY" w:eastAsia="Lucida Grande CY" w:hAnsi="Lucida Grande C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2026-02-08T04:32:00Z</dcterms:created>
  <dcterms:modified xsi:type="dcterms:W3CDTF">2026-02-08T04:34:00Z</dcterms:modified>
</cp:coreProperties>
</file>